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9D8D8" w14:textId="18C8B64D" w:rsidR="00D514C0" w:rsidRPr="002C2BA9" w:rsidRDefault="00D514C0" w:rsidP="002C2BA9">
      <w:bookmarkStart w:id="0" w:name="_Hlk38809757"/>
      <w:bookmarkEnd w:id="0"/>
      <w:r>
        <w:tab/>
      </w:r>
      <w:r>
        <w:tab/>
      </w:r>
      <w:r>
        <w:tab/>
      </w:r>
      <w:r>
        <w:tab/>
      </w:r>
      <w:r w:rsidRPr="003131EB">
        <w:rPr>
          <w:noProof/>
        </w:rPr>
        <w:drawing>
          <wp:inline distT="0" distB="0" distL="0" distR="0" wp14:anchorId="32B36ED6" wp14:editId="28AFE2C8">
            <wp:extent cx="1912620" cy="563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23C388B9" w14:textId="24255903" w:rsidR="00D514C0" w:rsidRPr="00D514C0" w:rsidRDefault="00D514C0" w:rsidP="00D51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D514C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TEN BASIC RESPONSIBILITIES OF NONPROFIT BOARDS </w:t>
      </w:r>
    </w:p>
    <w:p w14:paraId="1F60E146" w14:textId="77777777" w:rsidR="00D514C0" w:rsidRPr="00D514C0" w:rsidRDefault="00D514C0" w:rsidP="00D514C0">
      <w:pPr>
        <w:autoSpaceDE w:val="0"/>
        <w:autoSpaceDN w:val="0"/>
        <w:adjustRightInd w:val="0"/>
        <w:spacing w:after="152" w:line="240" w:lineRule="auto"/>
        <w:rPr>
          <w:rFonts w:ascii="Calibri" w:eastAsia="Calibri" w:hAnsi="Calibri" w:cs="Calibri"/>
          <w:color w:val="000000"/>
        </w:rPr>
      </w:pPr>
    </w:p>
    <w:p w14:paraId="62AEF984" w14:textId="77777777" w:rsidR="00D514C0" w:rsidRPr="00D514C0" w:rsidRDefault="00D514C0" w:rsidP="00D514C0">
      <w:pPr>
        <w:autoSpaceDE w:val="0"/>
        <w:autoSpaceDN w:val="0"/>
        <w:adjustRightInd w:val="0"/>
        <w:spacing w:after="152" w:line="240" w:lineRule="auto"/>
        <w:ind w:left="270" w:hanging="270"/>
        <w:rPr>
          <w:rFonts w:ascii="Calibri" w:eastAsia="Calibri" w:hAnsi="Calibri" w:cs="Calibri"/>
          <w:color w:val="000000"/>
        </w:rPr>
      </w:pPr>
      <w:r w:rsidRPr="00D514C0">
        <w:rPr>
          <w:rFonts w:ascii="Calibri" w:eastAsia="Calibri" w:hAnsi="Calibri" w:cs="Calibri"/>
          <w:color w:val="000000"/>
        </w:rPr>
        <w:t xml:space="preserve">1.  </w:t>
      </w:r>
      <w:r w:rsidRPr="00D514C0">
        <w:rPr>
          <w:rFonts w:ascii="Calibri" w:eastAsia="Calibri" w:hAnsi="Calibri" w:cs="Calibri"/>
          <w:b/>
          <w:bCs/>
          <w:color w:val="000000"/>
        </w:rPr>
        <w:t xml:space="preserve">Determine mission and purposes, and advocate for them. </w:t>
      </w:r>
      <w:r w:rsidRPr="00D514C0">
        <w:rPr>
          <w:rFonts w:ascii="Calibri" w:eastAsia="Calibri" w:hAnsi="Calibri" w:cs="Calibri"/>
          <w:color w:val="000000"/>
        </w:rPr>
        <w:t xml:space="preserve">It is the board’s responsibility to create and review a statement of mission and purpose that articulates the organization’s goals, means, and primary constituents served and advocate for their organization by “standing for their mission” </w:t>
      </w:r>
      <w:r w:rsidRPr="00D514C0">
        <w:rPr>
          <w:rFonts w:ascii="Calibri" w:eastAsia="Calibri" w:hAnsi="Calibri" w:cs="Calibri"/>
          <w:color w:val="2F5496"/>
        </w:rPr>
        <w:t>(www.standforyourmission.org</w:t>
      </w:r>
      <w:r w:rsidRPr="00D514C0">
        <w:rPr>
          <w:rFonts w:ascii="Calibri" w:eastAsia="Calibri" w:hAnsi="Calibri" w:cs="Calibri"/>
          <w:color w:val="000000"/>
        </w:rPr>
        <w:t xml:space="preserve">). </w:t>
      </w:r>
    </w:p>
    <w:p w14:paraId="6DA73AE8" w14:textId="7300C24E" w:rsidR="00D514C0" w:rsidRPr="00D514C0" w:rsidRDefault="00D514C0" w:rsidP="00D514C0">
      <w:pPr>
        <w:autoSpaceDE w:val="0"/>
        <w:autoSpaceDN w:val="0"/>
        <w:adjustRightInd w:val="0"/>
        <w:spacing w:after="152" w:line="240" w:lineRule="auto"/>
        <w:ind w:left="270" w:hanging="270"/>
        <w:rPr>
          <w:rFonts w:ascii="Calibri" w:eastAsia="Calibri" w:hAnsi="Calibri" w:cs="Calibri"/>
          <w:color w:val="000000"/>
        </w:rPr>
      </w:pPr>
      <w:r w:rsidRPr="00D514C0">
        <w:rPr>
          <w:rFonts w:ascii="Calibri" w:eastAsia="Calibri" w:hAnsi="Calibri" w:cs="Calibri"/>
          <w:color w:val="000000"/>
        </w:rPr>
        <w:t xml:space="preserve">2.  </w:t>
      </w:r>
      <w:r w:rsidRPr="00D514C0">
        <w:rPr>
          <w:rFonts w:ascii="Calibri" w:eastAsia="Calibri" w:hAnsi="Calibri" w:cs="Calibri"/>
          <w:b/>
          <w:bCs/>
          <w:color w:val="000000"/>
        </w:rPr>
        <w:t xml:space="preserve">Select the chief executive. </w:t>
      </w:r>
      <w:r w:rsidRPr="00D514C0">
        <w:rPr>
          <w:rFonts w:ascii="Calibri" w:eastAsia="Calibri" w:hAnsi="Calibri" w:cs="Calibri"/>
          <w:color w:val="000000"/>
        </w:rPr>
        <w:t xml:space="preserve">Boards must reach consensus on the chief executive’s responsibilities and undertake a careful search to find the most qualified individual for the position. </w:t>
      </w:r>
      <w:r w:rsidR="006653DB">
        <w:rPr>
          <w:rFonts w:ascii="Calibri" w:eastAsia="Calibri" w:hAnsi="Calibri" w:cs="Calibri"/>
          <w:color w:val="000000"/>
        </w:rPr>
        <w:t xml:space="preserve"> </w:t>
      </w:r>
    </w:p>
    <w:p w14:paraId="438BBD15" w14:textId="77777777" w:rsidR="00D514C0" w:rsidRPr="00D514C0" w:rsidRDefault="00D514C0" w:rsidP="00D514C0">
      <w:pPr>
        <w:autoSpaceDE w:val="0"/>
        <w:autoSpaceDN w:val="0"/>
        <w:adjustRightInd w:val="0"/>
        <w:spacing w:after="152" w:line="240" w:lineRule="auto"/>
        <w:ind w:left="270" w:hanging="270"/>
        <w:rPr>
          <w:rFonts w:ascii="Calibri" w:eastAsia="Calibri" w:hAnsi="Calibri" w:cs="Calibri"/>
          <w:color w:val="000000"/>
        </w:rPr>
      </w:pPr>
      <w:r w:rsidRPr="00D514C0">
        <w:rPr>
          <w:rFonts w:ascii="Calibri" w:eastAsia="Calibri" w:hAnsi="Calibri" w:cs="Calibri"/>
          <w:color w:val="000000"/>
        </w:rPr>
        <w:t xml:space="preserve">3.  </w:t>
      </w:r>
      <w:r w:rsidRPr="00D514C0">
        <w:rPr>
          <w:rFonts w:ascii="Calibri" w:eastAsia="Calibri" w:hAnsi="Calibri" w:cs="Calibri"/>
          <w:b/>
          <w:bCs/>
          <w:color w:val="000000"/>
        </w:rPr>
        <w:t xml:space="preserve">Support and evaluate the chief executive. </w:t>
      </w:r>
      <w:r w:rsidRPr="00D514C0">
        <w:rPr>
          <w:rFonts w:ascii="Calibri" w:eastAsia="Calibri" w:hAnsi="Calibri" w:cs="Calibri"/>
          <w:color w:val="000000"/>
        </w:rPr>
        <w:t xml:space="preserve">The board should ensure that the chief executive has the moral and professional support he or she needs to further the goals of the organization. </w:t>
      </w:r>
    </w:p>
    <w:p w14:paraId="62E1B08F" w14:textId="77777777" w:rsidR="00D514C0" w:rsidRPr="00D514C0" w:rsidRDefault="00D514C0" w:rsidP="00D514C0">
      <w:pPr>
        <w:autoSpaceDE w:val="0"/>
        <w:autoSpaceDN w:val="0"/>
        <w:adjustRightInd w:val="0"/>
        <w:spacing w:after="152" w:line="240" w:lineRule="auto"/>
        <w:ind w:left="270" w:hanging="270"/>
        <w:rPr>
          <w:rFonts w:ascii="Calibri" w:eastAsia="Calibri" w:hAnsi="Calibri" w:cs="Calibri"/>
          <w:color w:val="000000"/>
        </w:rPr>
      </w:pPr>
      <w:r w:rsidRPr="00D514C0">
        <w:rPr>
          <w:rFonts w:ascii="Calibri" w:eastAsia="Calibri" w:hAnsi="Calibri" w:cs="Calibri"/>
          <w:color w:val="000000"/>
        </w:rPr>
        <w:t xml:space="preserve">4.  </w:t>
      </w:r>
      <w:r w:rsidRPr="00D514C0">
        <w:rPr>
          <w:rFonts w:ascii="Calibri" w:eastAsia="Calibri" w:hAnsi="Calibri" w:cs="Calibri"/>
          <w:b/>
          <w:bCs/>
          <w:color w:val="000000"/>
        </w:rPr>
        <w:t xml:space="preserve">Ensure effective planning. </w:t>
      </w:r>
      <w:r w:rsidRPr="00D514C0">
        <w:rPr>
          <w:rFonts w:ascii="Calibri" w:eastAsia="Calibri" w:hAnsi="Calibri" w:cs="Calibri"/>
          <w:color w:val="000000"/>
        </w:rPr>
        <w:t xml:space="preserve">Boards must actively participate in an overall planning process and assist in implementing and monitoring the plan’s goals. </w:t>
      </w:r>
    </w:p>
    <w:p w14:paraId="073F474D" w14:textId="77777777" w:rsidR="00D514C0" w:rsidRPr="00D514C0" w:rsidRDefault="00D514C0" w:rsidP="00D514C0">
      <w:pPr>
        <w:autoSpaceDE w:val="0"/>
        <w:autoSpaceDN w:val="0"/>
        <w:adjustRightInd w:val="0"/>
        <w:spacing w:after="152" w:line="240" w:lineRule="auto"/>
        <w:ind w:left="270" w:hanging="270"/>
        <w:rPr>
          <w:rFonts w:ascii="Calibri" w:eastAsia="Calibri" w:hAnsi="Calibri" w:cs="Calibri"/>
          <w:color w:val="000000"/>
        </w:rPr>
      </w:pPr>
      <w:r w:rsidRPr="00D514C0">
        <w:rPr>
          <w:rFonts w:ascii="Calibri" w:eastAsia="Calibri" w:hAnsi="Calibri" w:cs="Calibri"/>
          <w:color w:val="000000"/>
        </w:rPr>
        <w:t xml:space="preserve">5.  </w:t>
      </w:r>
      <w:r w:rsidRPr="00D514C0">
        <w:rPr>
          <w:rFonts w:ascii="Calibri" w:eastAsia="Calibri" w:hAnsi="Calibri" w:cs="Calibri"/>
          <w:b/>
          <w:bCs/>
          <w:color w:val="000000"/>
        </w:rPr>
        <w:t xml:space="preserve">Monitor, and strengthen programs and services. </w:t>
      </w:r>
      <w:r w:rsidRPr="00D514C0">
        <w:rPr>
          <w:rFonts w:ascii="Calibri" w:eastAsia="Calibri" w:hAnsi="Calibri" w:cs="Calibri"/>
          <w:color w:val="000000"/>
        </w:rPr>
        <w:t xml:space="preserve">The board’s responsibility is to determine which programs are consistent with the organization’s mission and monitor their effectiveness. </w:t>
      </w:r>
    </w:p>
    <w:p w14:paraId="219F1749" w14:textId="77777777" w:rsidR="00D514C0" w:rsidRPr="00D514C0" w:rsidRDefault="00D514C0" w:rsidP="00D514C0">
      <w:pPr>
        <w:autoSpaceDE w:val="0"/>
        <w:autoSpaceDN w:val="0"/>
        <w:adjustRightInd w:val="0"/>
        <w:spacing w:after="152" w:line="240" w:lineRule="auto"/>
        <w:ind w:left="270" w:hanging="270"/>
        <w:rPr>
          <w:rFonts w:ascii="Calibri" w:eastAsia="Calibri" w:hAnsi="Calibri" w:cs="Calibri"/>
          <w:color w:val="000000"/>
        </w:rPr>
      </w:pPr>
      <w:r w:rsidRPr="00D514C0">
        <w:rPr>
          <w:rFonts w:ascii="Calibri" w:eastAsia="Calibri" w:hAnsi="Calibri" w:cs="Calibri"/>
          <w:color w:val="000000"/>
        </w:rPr>
        <w:t xml:space="preserve">6.  </w:t>
      </w:r>
      <w:r w:rsidRPr="00D514C0">
        <w:rPr>
          <w:rFonts w:ascii="Calibri" w:eastAsia="Calibri" w:hAnsi="Calibri" w:cs="Calibri"/>
          <w:b/>
          <w:bCs/>
          <w:color w:val="000000"/>
        </w:rPr>
        <w:t xml:space="preserve">Ensure adequate financial resources. </w:t>
      </w:r>
      <w:r w:rsidRPr="00D514C0">
        <w:rPr>
          <w:rFonts w:ascii="Calibri" w:eastAsia="Calibri" w:hAnsi="Calibri" w:cs="Calibri"/>
          <w:color w:val="000000"/>
        </w:rPr>
        <w:t xml:space="preserve">One of the board’s foremost responsibilities is to secure adequate resources for the organization to fulfill its mission by actively, consistently, and strategically advocating for the organization’s mission. </w:t>
      </w:r>
    </w:p>
    <w:p w14:paraId="6F4D1BD7" w14:textId="77777777" w:rsidR="00D514C0" w:rsidRPr="00D514C0" w:rsidRDefault="00D514C0" w:rsidP="00D514C0">
      <w:pPr>
        <w:autoSpaceDE w:val="0"/>
        <w:autoSpaceDN w:val="0"/>
        <w:adjustRightInd w:val="0"/>
        <w:spacing w:after="152" w:line="240" w:lineRule="auto"/>
        <w:ind w:left="270" w:hanging="270"/>
        <w:rPr>
          <w:rFonts w:ascii="Calibri" w:eastAsia="Calibri" w:hAnsi="Calibri" w:cs="Calibri"/>
          <w:color w:val="000000"/>
        </w:rPr>
      </w:pPr>
      <w:r w:rsidRPr="00D514C0">
        <w:rPr>
          <w:rFonts w:ascii="Calibri" w:eastAsia="Calibri" w:hAnsi="Calibri" w:cs="Calibri"/>
          <w:color w:val="000000"/>
        </w:rPr>
        <w:t xml:space="preserve">7.  </w:t>
      </w:r>
      <w:r w:rsidRPr="00D514C0">
        <w:rPr>
          <w:rFonts w:ascii="Calibri" w:eastAsia="Calibri" w:hAnsi="Calibri" w:cs="Calibri"/>
          <w:b/>
          <w:bCs/>
          <w:color w:val="000000"/>
        </w:rPr>
        <w:t xml:space="preserve">Protect assets and provide proper financial oversight. </w:t>
      </w:r>
      <w:r w:rsidRPr="00D514C0">
        <w:rPr>
          <w:rFonts w:ascii="Calibri" w:eastAsia="Calibri" w:hAnsi="Calibri" w:cs="Calibri"/>
          <w:color w:val="000000"/>
        </w:rPr>
        <w:t xml:space="preserve">The board must assist in developing the annual budget and ensuring that proper financial controls are in place. </w:t>
      </w:r>
    </w:p>
    <w:p w14:paraId="7C31FC84" w14:textId="77777777" w:rsidR="00D514C0" w:rsidRPr="00D514C0" w:rsidRDefault="00D514C0" w:rsidP="00D514C0">
      <w:pPr>
        <w:autoSpaceDE w:val="0"/>
        <w:autoSpaceDN w:val="0"/>
        <w:adjustRightInd w:val="0"/>
        <w:spacing w:after="152" w:line="240" w:lineRule="auto"/>
        <w:ind w:left="270" w:hanging="270"/>
        <w:rPr>
          <w:rFonts w:ascii="Calibri" w:eastAsia="Calibri" w:hAnsi="Calibri" w:cs="Calibri"/>
          <w:color w:val="000000"/>
        </w:rPr>
      </w:pPr>
      <w:r w:rsidRPr="00D514C0">
        <w:rPr>
          <w:rFonts w:ascii="Calibri" w:eastAsia="Calibri" w:hAnsi="Calibri" w:cs="Calibri"/>
          <w:color w:val="000000"/>
        </w:rPr>
        <w:t xml:space="preserve">8.  </w:t>
      </w:r>
      <w:r w:rsidRPr="00D514C0">
        <w:rPr>
          <w:rFonts w:ascii="Calibri" w:eastAsia="Calibri" w:hAnsi="Calibri" w:cs="Calibri"/>
          <w:b/>
          <w:bCs/>
          <w:color w:val="000000"/>
        </w:rPr>
        <w:t xml:space="preserve">Build and sustain a competent board. </w:t>
      </w:r>
      <w:r w:rsidRPr="00D514C0">
        <w:rPr>
          <w:rFonts w:ascii="Calibri" w:eastAsia="Calibri" w:hAnsi="Calibri" w:cs="Calibri"/>
          <w:color w:val="000000"/>
        </w:rPr>
        <w:t xml:space="preserve">All boards have a responsibility to articulate prerequisites for candidates, orient new members, and periodically and comprehensively evaluate their own performance. </w:t>
      </w:r>
    </w:p>
    <w:p w14:paraId="24B14612" w14:textId="77777777" w:rsidR="00D514C0" w:rsidRPr="00D514C0" w:rsidRDefault="00D514C0" w:rsidP="00D514C0">
      <w:pPr>
        <w:autoSpaceDE w:val="0"/>
        <w:autoSpaceDN w:val="0"/>
        <w:adjustRightInd w:val="0"/>
        <w:spacing w:after="152" w:line="240" w:lineRule="auto"/>
        <w:ind w:left="270" w:hanging="270"/>
        <w:rPr>
          <w:rFonts w:ascii="Calibri" w:eastAsia="Calibri" w:hAnsi="Calibri" w:cs="Calibri"/>
          <w:color w:val="000000"/>
        </w:rPr>
      </w:pPr>
      <w:r w:rsidRPr="00D514C0">
        <w:rPr>
          <w:rFonts w:ascii="Calibri" w:eastAsia="Calibri" w:hAnsi="Calibri" w:cs="Calibri"/>
          <w:color w:val="000000"/>
        </w:rPr>
        <w:t xml:space="preserve">9.  </w:t>
      </w:r>
      <w:r w:rsidRPr="00D514C0">
        <w:rPr>
          <w:rFonts w:ascii="Calibri" w:eastAsia="Calibri" w:hAnsi="Calibri" w:cs="Calibri"/>
          <w:b/>
          <w:bCs/>
          <w:color w:val="000000"/>
        </w:rPr>
        <w:t xml:space="preserve">Ensure legal and ethical integrity. </w:t>
      </w:r>
      <w:r w:rsidRPr="00D514C0">
        <w:rPr>
          <w:rFonts w:ascii="Calibri" w:eastAsia="Calibri" w:hAnsi="Calibri" w:cs="Calibri"/>
          <w:color w:val="000000"/>
        </w:rPr>
        <w:t xml:space="preserve">The board is ultimately responsible for adherence to legal standards and ethical norms. </w:t>
      </w:r>
    </w:p>
    <w:p w14:paraId="3FD9EC97" w14:textId="67067093" w:rsidR="00D514C0" w:rsidRDefault="00D514C0" w:rsidP="002C2B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 w:rsidRPr="00D514C0">
        <w:rPr>
          <w:rFonts w:ascii="Calibri" w:eastAsia="Calibri" w:hAnsi="Calibri" w:cs="Calibri"/>
          <w:color w:val="000000"/>
        </w:rPr>
        <w:t xml:space="preserve">10.  </w:t>
      </w:r>
      <w:r w:rsidRPr="00D514C0">
        <w:rPr>
          <w:rFonts w:ascii="Calibri" w:eastAsia="Calibri" w:hAnsi="Calibri" w:cs="Calibri"/>
          <w:b/>
          <w:bCs/>
          <w:color w:val="000000"/>
        </w:rPr>
        <w:t xml:space="preserve">Enhance the organization’s public standing. </w:t>
      </w:r>
      <w:r w:rsidRPr="00D514C0">
        <w:rPr>
          <w:rFonts w:ascii="Calibri" w:eastAsia="Calibri" w:hAnsi="Calibri" w:cs="Calibri"/>
          <w:color w:val="000000"/>
        </w:rPr>
        <w:t xml:space="preserve">The board should act as conscientious ambassadors who clearly articulate and advocate for the organization’s mission, accomplishments, and goals to the public and garner support from the community. </w:t>
      </w:r>
    </w:p>
    <w:p w14:paraId="7D19B7FA" w14:textId="5EB3E655" w:rsidR="002C2BA9" w:rsidRDefault="002C2BA9" w:rsidP="002C2B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</w:p>
    <w:p w14:paraId="3698361A" w14:textId="1ECF1FDE" w:rsidR="002C2BA9" w:rsidRPr="002C2BA9" w:rsidRDefault="002C2BA9" w:rsidP="00D514C0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11.  </w:t>
      </w:r>
      <w:r w:rsidRPr="006A2049">
        <w:rPr>
          <w:b/>
          <w:bCs/>
          <w:color w:val="292424"/>
        </w:rPr>
        <w:t>Make sure race equity is centered in all board activities.</w:t>
      </w:r>
      <w:r>
        <w:rPr>
          <w:b/>
          <w:bCs/>
          <w:color w:val="292424"/>
          <w:sz w:val="24"/>
          <w:szCs w:val="24"/>
        </w:rPr>
        <w:t xml:space="preserve"> </w:t>
      </w:r>
      <w:r w:rsidRPr="002C2BA9">
        <w:rPr>
          <w:color w:val="292424"/>
        </w:rPr>
        <w:t>As the decision-making body at the highest level of organizational leadership, boards play a critical role in creating an organization that prioritizes, supports, and invests in diversity, inclusion, and equity. (added</w:t>
      </w:r>
      <w:r>
        <w:rPr>
          <w:color w:val="292424"/>
        </w:rPr>
        <w:t xml:space="preserve"> by BOS consulting team</w:t>
      </w:r>
      <w:r w:rsidRPr="002C2BA9">
        <w:rPr>
          <w:color w:val="292424"/>
        </w:rPr>
        <w:t xml:space="preserve"> to </w:t>
      </w:r>
      <w:r>
        <w:rPr>
          <w:i/>
          <w:iCs/>
          <w:color w:val="292424"/>
        </w:rPr>
        <w:t>Ten Basic Responsibilities</w:t>
      </w:r>
      <w:r>
        <w:rPr>
          <w:color w:val="292424"/>
        </w:rPr>
        <w:t>. Additional language quoted from BoardSource, 2020.)</w:t>
      </w:r>
    </w:p>
    <w:p w14:paraId="5696A427" w14:textId="77777777" w:rsidR="00D514C0" w:rsidRPr="00D514C0" w:rsidRDefault="00D514C0" w:rsidP="00D514C0">
      <w:pPr>
        <w:rPr>
          <w:rFonts w:ascii="Calibri" w:eastAsia="Calibri" w:hAnsi="Calibri" w:cs="Times New Roman"/>
        </w:rPr>
      </w:pPr>
    </w:p>
    <w:p w14:paraId="6C24422F" w14:textId="77777777" w:rsidR="00D514C0" w:rsidRPr="00D514C0" w:rsidRDefault="00D514C0" w:rsidP="00D514C0">
      <w:pPr>
        <w:rPr>
          <w:rFonts w:ascii="Calibri" w:eastAsia="Calibri" w:hAnsi="Calibri" w:cs="Times New Roman"/>
        </w:rPr>
      </w:pPr>
    </w:p>
    <w:p w14:paraId="460BF2FE" w14:textId="4DC75BDD" w:rsidR="00D514C0" w:rsidRPr="00D514C0" w:rsidRDefault="00D514C0" w:rsidP="00D514C0">
      <w:pPr>
        <w:rPr>
          <w:rFonts w:ascii="Calibri" w:eastAsia="Calibri" w:hAnsi="Calibri" w:cs="Times New Roman"/>
          <w:i/>
          <w:noProof/>
          <w:sz w:val="20"/>
          <w:szCs w:val="20"/>
        </w:rPr>
      </w:pPr>
      <w:r w:rsidRPr="00D514C0">
        <w:rPr>
          <w:rFonts w:ascii="Calibri" w:eastAsia="Calibri" w:hAnsi="Calibri" w:cs="Times New Roman"/>
          <w:i/>
          <w:noProof/>
          <w:sz w:val="20"/>
          <w:szCs w:val="20"/>
        </w:rPr>
        <w:drawing>
          <wp:inline distT="0" distB="0" distL="0" distR="0" wp14:anchorId="201F5B32" wp14:editId="6C59D82E">
            <wp:extent cx="22860" cy="76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4C0">
        <w:rPr>
          <w:rFonts w:ascii="Calibri" w:eastAsia="Calibri" w:hAnsi="Calibri" w:cs="Times New Roman"/>
          <w:i/>
          <w:noProof/>
          <w:sz w:val="20"/>
          <w:szCs w:val="20"/>
        </w:rPr>
        <w:t xml:space="preserve">     </w:t>
      </w:r>
      <w:r w:rsidRPr="00D514C0">
        <w:rPr>
          <w:rFonts w:ascii="Calibri" w:eastAsia="Calibri" w:hAnsi="Calibri" w:cs="Times New Roman"/>
          <w:i/>
          <w:noProof/>
          <w:sz w:val="20"/>
          <w:szCs w:val="20"/>
        </w:rPr>
        <w:drawing>
          <wp:inline distT="0" distB="0" distL="0" distR="0" wp14:anchorId="6DFA5039" wp14:editId="71EE5906">
            <wp:extent cx="22860" cy="76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4C0">
        <w:rPr>
          <w:rFonts w:ascii="Calibri" w:eastAsia="Calibri" w:hAnsi="Calibri" w:cs="Times New Roman"/>
          <w:i/>
          <w:noProof/>
          <w:sz w:val="20"/>
          <w:szCs w:val="20"/>
        </w:rPr>
        <w:t>Source: Richard T. Ingram, Ten Basic Responsibilities of Nonprofit Boards, Third Edition (BoardSource. 2015)</w:t>
      </w:r>
    </w:p>
    <w:p w14:paraId="5375E618" w14:textId="77777777" w:rsidR="00D514C0" w:rsidRPr="00D514C0" w:rsidRDefault="00D514C0" w:rsidP="00D514C0">
      <w:pPr>
        <w:rPr>
          <w:rFonts w:ascii="Calibri" w:eastAsia="Calibri" w:hAnsi="Calibri" w:cs="Times New Roman"/>
          <w:i/>
          <w:sz w:val="20"/>
          <w:szCs w:val="20"/>
        </w:rPr>
      </w:pPr>
    </w:p>
    <w:p w14:paraId="2F4A728C" w14:textId="319D3C5D" w:rsidR="00D514C0" w:rsidRDefault="00D514C0" w:rsidP="00D514C0">
      <w:pPr>
        <w:numPr>
          <w:ilvl w:val="0"/>
          <w:numId w:val="1"/>
        </w:numPr>
      </w:pPr>
    </w:p>
    <w:sectPr w:rsidR="00D514C0" w:rsidSect="002C2BA9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CCB1F" w14:textId="77777777" w:rsidR="00420850" w:rsidRDefault="00420850" w:rsidP="002C2BA9">
      <w:pPr>
        <w:spacing w:after="0" w:line="240" w:lineRule="auto"/>
      </w:pPr>
      <w:r>
        <w:separator/>
      </w:r>
    </w:p>
  </w:endnote>
  <w:endnote w:type="continuationSeparator" w:id="0">
    <w:p w14:paraId="7DA2D685" w14:textId="77777777" w:rsidR="00420850" w:rsidRDefault="00420850" w:rsidP="002C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80B27" w14:textId="3EBAEE3C" w:rsidR="002C2BA9" w:rsidRPr="00D514C0" w:rsidRDefault="002C2BA9" w:rsidP="002C2BA9">
    <w:pPr>
      <w:numPr>
        <w:ilvl w:val="0"/>
        <w:numId w:val="1"/>
      </w:numPr>
      <w:rPr>
        <w:rFonts w:ascii="Calibri" w:eastAsia="Calibri" w:hAnsi="Calibri" w:cs="Calibri"/>
        <w:b/>
        <w:color w:val="002060"/>
        <w:sz w:val="20"/>
        <w:szCs w:val="20"/>
      </w:rPr>
    </w:pPr>
    <w:r w:rsidRPr="00D514C0">
      <w:rPr>
        <w:rFonts w:ascii="Calibri" w:eastAsia="Calibri" w:hAnsi="Calibri" w:cs="Times New Roman"/>
        <w:b/>
        <w:noProof/>
        <w:sz w:val="20"/>
        <w:szCs w:val="20"/>
      </w:rPr>
      <w:drawing>
        <wp:inline distT="0" distB="0" distL="0" distR="0" wp14:anchorId="57D392A8" wp14:editId="6AAE17B0">
          <wp:extent cx="22860" cy="76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" cy="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514C0">
      <w:rPr>
        <w:rFonts w:ascii="Calibri" w:eastAsia="Calibri" w:hAnsi="Calibri" w:cs="Calibri"/>
        <w:b/>
        <w:color w:val="000000"/>
        <w:sz w:val="20"/>
        <w:szCs w:val="20"/>
      </w:rPr>
      <w:t xml:space="preserve"> </w:t>
    </w:r>
    <w:r w:rsidRPr="00D514C0">
      <w:rPr>
        <w:rFonts w:ascii="Calibri" w:eastAsia="Calibri" w:hAnsi="Calibri" w:cs="Times New Roman"/>
        <w:b/>
        <w:noProof/>
        <w:sz w:val="20"/>
        <w:szCs w:val="20"/>
      </w:rPr>
      <w:drawing>
        <wp:inline distT="0" distB="0" distL="0" distR="0" wp14:anchorId="33CFA0EA" wp14:editId="3F5D1304">
          <wp:extent cx="22860" cy="76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" cy="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514C0">
      <w:rPr>
        <w:rFonts w:ascii="Calibri" w:eastAsia="Calibri" w:hAnsi="Calibri" w:cs="Calibri"/>
        <w:b/>
        <w:color w:val="000000"/>
        <w:sz w:val="20"/>
        <w:szCs w:val="20"/>
      </w:rPr>
      <w:t xml:space="preserve">©BoardSource 2015 </w:t>
    </w:r>
    <w:r w:rsidRPr="00D514C0">
      <w:rPr>
        <w:rFonts w:ascii="Arial" w:eastAsia="Calibri" w:hAnsi="Arial" w:cs="Arial"/>
        <w:b/>
        <w:color w:val="000000"/>
        <w:sz w:val="20"/>
        <w:szCs w:val="20"/>
      </w:rPr>
      <w:t xml:space="preserve">• </w:t>
    </w:r>
    <w:r w:rsidRPr="00D514C0">
      <w:rPr>
        <w:rFonts w:ascii="Calibri" w:eastAsia="Calibri" w:hAnsi="Calibri" w:cs="Calibri"/>
        <w:b/>
        <w:color w:val="000000"/>
        <w:sz w:val="20"/>
        <w:szCs w:val="20"/>
      </w:rPr>
      <w:t xml:space="preserve">750 9th Street NW., Washington, DC 2001 </w:t>
    </w:r>
    <w:r w:rsidRPr="00D514C0">
      <w:rPr>
        <w:rFonts w:ascii="Arial" w:eastAsia="Calibri" w:hAnsi="Arial" w:cs="Arial"/>
        <w:b/>
        <w:color w:val="000000"/>
        <w:sz w:val="20"/>
        <w:szCs w:val="20"/>
      </w:rPr>
      <w:t xml:space="preserve">• </w:t>
    </w:r>
    <w:r w:rsidRPr="00D514C0">
      <w:rPr>
        <w:rFonts w:ascii="Calibri" w:eastAsia="Calibri" w:hAnsi="Calibri" w:cs="Calibri"/>
        <w:b/>
        <w:color w:val="000000"/>
        <w:sz w:val="20"/>
        <w:szCs w:val="20"/>
      </w:rPr>
      <w:t xml:space="preserve">(202) 349-2500 </w:t>
    </w:r>
    <w:r w:rsidRPr="00D514C0">
      <w:rPr>
        <w:rFonts w:ascii="Arial" w:eastAsia="Calibri" w:hAnsi="Arial" w:cs="Arial"/>
        <w:b/>
        <w:color w:val="000000"/>
        <w:sz w:val="20"/>
        <w:szCs w:val="20"/>
      </w:rPr>
      <w:t xml:space="preserve">• </w:t>
    </w:r>
    <w:r w:rsidRPr="00D514C0">
      <w:rPr>
        <w:rFonts w:ascii="Calibri" w:eastAsia="Calibri" w:hAnsi="Calibri" w:cs="Calibri"/>
        <w:b/>
        <w:color w:val="002060"/>
        <w:sz w:val="20"/>
        <w:szCs w:val="20"/>
      </w:rPr>
      <w:fldChar w:fldCharType="begin"/>
    </w:r>
    <w:r w:rsidRPr="00D514C0">
      <w:rPr>
        <w:rFonts w:ascii="Calibri" w:eastAsia="Calibri" w:hAnsi="Calibri" w:cs="Calibri"/>
        <w:b/>
        <w:color w:val="002060"/>
        <w:sz w:val="20"/>
        <w:szCs w:val="20"/>
      </w:rPr>
      <w:instrText xml:space="preserve"> HYPERLINK "http://www.boardsource.org</w:instrText>
    </w:r>
  </w:p>
  <w:p w14:paraId="5320EB65" w14:textId="28401D90" w:rsidR="002C2BA9" w:rsidRDefault="002C2BA9" w:rsidP="002C2BA9">
    <w:pPr>
      <w:pStyle w:val="Footer"/>
    </w:pPr>
    <w:r w:rsidRPr="00D514C0">
      <w:rPr>
        <w:rFonts w:ascii="Calibri" w:eastAsia="Calibri" w:hAnsi="Calibri" w:cs="Calibri"/>
        <w:b/>
        <w:color w:val="002060"/>
        <w:sz w:val="20"/>
        <w:szCs w:val="20"/>
      </w:rPr>
      <w:instrText xml:space="preserve">" </w:instrText>
    </w:r>
    <w:r w:rsidRPr="00D514C0">
      <w:rPr>
        <w:rFonts w:ascii="Calibri" w:eastAsia="Calibri" w:hAnsi="Calibri" w:cs="Calibri"/>
        <w:b/>
        <w:color w:val="002060"/>
        <w:sz w:val="20"/>
        <w:szCs w:val="20"/>
      </w:rPr>
      <w:fldChar w:fldCharType="separate"/>
    </w:r>
    <w:r w:rsidRPr="00D514C0">
      <w:rPr>
        <w:rFonts w:ascii="Calibri" w:eastAsia="Calibri" w:hAnsi="Calibri" w:cs="Calibri"/>
        <w:b/>
        <w:color w:val="0000FF"/>
        <w:sz w:val="20"/>
        <w:szCs w:val="20"/>
        <w:u w:val="single"/>
      </w:rPr>
      <w:t>www.boardsource.org</w:t>
    </w:r>
    <w:r w:rsidRPr="00D514C0">
      <w:rPr>
        <w:rFonts w:ascii="Calibri" w:eastAsia="Calibri" w:hAnsi="Calibri" w:cs="Calibri"/>
        <w:b/>
        <w:color w:val="002060"/>
        <w:sz w:val="20"/>
        <w:szCs w:val="20"/>
      </w:rPr>
      <w:fldChar w:fldCharType="end"/>
    </w:r>
  </w:p>
  <w:p w14:paraId="106EE0BF" w14:textId="77777777" w:rsidR="002C2BA9" w:rsidRDefault="002C2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98419" w14:textId="77777777" w:rsidR="00420850" w:rsidRDefault="00420850" w:rsidP="002C2BA9">
      <w:pPr>
        <w:spacing w:after="0" w:line="240" w:lineRule="auto"/>
      </w:pPr>
      <w:r>
        <w:separator/>
      </w:r>
    </w:p>
  </w:footnote>
  <w:footnote w:type="continuationSeparator" w:id="0">
    <w:p w14:paraId="265954EC" w14:textId="77777777" w:rsidR="00420850" w:rsidRDefault="00420850" w:rsidP="002C2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.8pt;height:.6pt;visibility:visible" o:bullet="t">
        <v:imagedata r:id="rId1" o:title=""/>
      </v:shape>
    </w:pict>
  </w:numPicBullet>
  <w:abstractNum w:abstractNumId="0" w15:restartNumberingAfterBreak="0">
    <w:nsid w:val="4E124FA2"/>
    <w:multiLevelType w:val="hybridMultilevel"/>
    <w:tmpl w:val="A2F2AD6C"/>
    <w:lvl w:ilvl="0" w:tplc="A3764F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6C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C0ED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EA5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5AA1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FE39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3E5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DCF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B29D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C0"/>
    <w:rsid w:val="002C2BA9"/>
    <w:rsid w:val="00420850"/>
    <w:rsid w:val="004A6661"/>
    <w:rsid w:val="006653DB"/>
    <w:rsid w:val="006A2049"/>
    <w:rsid w:val="00967C4D"/>
    <w:rsid w:val="00B6543B"/>
    <w:rsid w:val="00D5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E73B"/>
  <w15:chartTrackingRefBased/>
  <w15:docId w15:val="{029DCBD7-CB5B-4D12-873F-564EDFD9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BA9"/>
  </w:style>
  <w:style w:type="paragraph" w:styleId="Footer">
    <w:name w:val="footer"/>
    <w:basedOn w:val="Normal"/>
    <w:link w:val="FooterChar"/>
    <w:uiPriority w:val="99"/>
    <w:unhideWhenUsed/>
    <w:rsid w:val="002C2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Cohen</dc:creator>
  <cp:keywords/>
  <dc:description/>
  <cp:lastModifiedBy>Shari Adams</cp:lastModifiedBy>
  <cp:revision>3</cp:revision>
  <dcterms:created xsi:type="dcterms:W3CDTF">2020-10-06T15:41:00Z</dcterms:created>
  <dcterms:modified xsi:type="dcterms:W3CDTF">2020-10-06T17:03:00Z</dcterms:modified>
</cp:coreProperties>
</file>